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75" w:rsidRDefault="00576E75" w:rsidP="00576E75">
      <w:pPr>
        <w:jc w:val="center"/>
        <w:rPr>
          <w:b/>
          <w:lang w:val="es-AR"/>
        </w:rPr>
      </w:pPr>
      <w:r w:rsidRPr="00CA0C31">
        <w:rPr>
          <w:b/>
          <w:lang w:val="es-AR"/>
        </w:rPr>
        <w:t xml:space="preserve">Comunicado de prensa acuerdo </w:t>
      </w:r>
      <w:r w:rsidR="0011334B">
        <w:rPr>
          <w:b/>
          <w:lang w:val="es-AR"/>
        </w:rPr>
        <w:t xml:space="preserve">con el </w:t>
      </w:r>
      <w:r w:rsidRPr="00CA0C31">
        <w:rPr>
          <w:b/>
          <w:lang w:val="es-AR"/>
        </w:rPr>
        <w:t>FMI</w:t>
      </w:r>
    </w:p>
    <w:p w:rsidR="00CA0C31" w:rsidRPr="00CA0C31" w:rsidRDefault="00CA0C31" w:rsidP="00576E75">
      <w:pPr>
        <w:jc w:val="center"/>
        <w:rPr>
          <w:b/>
          <w:lang w:val="es-AR"/>
        </w:rPr>
      </w:pPr>
      <w:r>
        <w:rPr>
          <w:b/>
          <w:lang w:val="es-AR"/>
        </w:rPr>
        <w:t>7 de Junio de 2018</w:t>
      </w:r>
    </w:p>
    <w:p w:rsidR="00576E75" w:rsidRDefault="00576E75" w:rsidP="00576E75">
      <w:pPr>
        <w:rPr>
          <w:lang w:val="es-AR"/>
        </w:rPr>
      </w:pPr>
    </w:p>
    <w:p w:rsidR="00CE1AE9" w:rsidRDefault="00CE1AE9" w:rsidP="00CA0C31">
      <w:pPr>
        <w:spacing w:after="120" w:line="300" w:lineRule="auto"/>
        <w:jc w:val="both"/>
        <w:rPr>
          <w:lang w:val="es-AR"/>
        </w:rPr>
      </w:pPr>
      <w:r w:rsidRPr="00576E75">
        <w:rPr>
          <w:lang w:val="es-AR"/>
        </w:rPr>
        <w:t>Argentina y el FMI</w:t>
      </w:r>
      <w:r w:rsidR="006B27BB">
        <w:rPr>
          <w:lang w:val="es-AR"/>
        </w:rPr>
        <w:t xml:space="preserve"> acordaron un programa Stand-b</w:t>
      </w:r>
      <w:r w:rsidR="00576E75">
        <w:rPr>
          <w:lang w:val="es-AR"/>
        </w:rPr>
        <w:t xml:space="preserve">y </w:t>
      </w:r>
      <w:r w:rsidR="00C33166">
        <w:rPr>
          <w:lang w:val="es-AR"/>
        </w:rPr>
        <w:t xml:space="preserve">con una duración de 36 meses. </w:t>
      </w:r>
    </w:p>
    <w:p w:rsidR="006B27BB" w:rsidRDefault="000611DA" w:rsidP="000611DA">
      <w:pPr>
        <w:spacing w:after="120" w:line="300" w:lineRule="auto"/>
        <w:jc w:val="both"/>
        <w:rPr>
          <w:lang w:val="es-AR"/>
        </w:rPr>
      </w:pPr>
      <w:r>
        <w:rPr>
          <w:lang w:val="es-AR"/>
        </w:rPr>
        <w:t>El plan económico a implementarse durante el programa fue presentado por Argentina</w:t>
      </w:r>
      <w:r w:rsidR="00687CBB" w:rsidRPr="00687CBB">
        <w:rPr>
          <w:lang w:val="es-AR"/>
        </w:rPr>
        <w:t xml:space="preserve"> </w:t>
      </w:r>
      <w:r w:rsidR="00687CBB">
        <w:rPr>
          <w:lang w:val="es-AR"/>
        </w:rPr>
        <w:t>y refuerza nuestro compromiso con la eliminación de los desbalances económicos que han aquejado a nuestro país por décadas</w:t>
      </w:r>
      <w:r w:rsidR="00257EF5">
        <w:rPr>
          <w:lang w:val="es-AR"/>
        </w:rPr>
        <w:t>.</w:t>
      </w:r>
    </w:p>
    <w:p w:rsidR="000F40DC" w:rsidRDefault="00257EF5" w:rsidP="003B2FC0">
      <w:pPr>
        <w:spacing w:after="120" w:line="300" w:lineRule="auto"/>
        <w:jc w:val="both"/>
        <w:rPr>
          <w:lang w:val="es-AR"/>
        </w:rPr>
      </w:pPr>
      <w:r>
        <w:rPr>
          <w:lang w:val="es-AR"/>
        </w:rPr>
        <w:t xml:space="preserve">El plan es </w:t>
      </w:r>
      <w:r w:rsidR="000611DA">
        <w:rPr>
          <w:lang w:val="es-AR"/>
        </w:rPr>
        <w:t>consisten</w:t>
      </w:r>
      <w:r>
        <w:rPr>
          <w:lang w:val="es-AR"/>
        </w:rPr>
        <w:t>te y sostenible económica, social y políticamente</w:t>
      </w:r>
      <w:r w:rsidR="006B27BB">
        <w:rPr>
          <w:lang w:val="es-AR"/>
        </w:rPr>
        <w:t xml:space="preserve">, y </w:t>
      </w:r>
      <w:r w:rsidR="00252FAD">
        <w:rPr>
          <w:lang w:val="es-AR"/>
        </w:rPr>
        <w:t xml:space="preserve">tiene como objetivo continuar reestableciendo el orden marcoeconómico </w:t>
      </w:r>
      <w:r w:rsidR="00881902">
        <w:rPr>
          <w:lang w:val="es-AR"/>
        </w:rPr>
        <w:t>con</w:t>
      </w:r>
      <w:r w:rsidR="00252FAD">
        <w:rPr>
          <w:lang w:val="es-AR"/>
        </w:rPr>
        <w:t xml:space="preserve"> dos </w:t>
      </w:r>
      <w:r w:rsidR="00881902">
        <w:rPr>
          <w:lang w:val="es-AR"/>
        </w:rPr>
        <w:t>ejes</w:t>
      </w:r>
      <w:r w:rsidR="00252FAD">
        <w:rPr>
          <w:lang w:val="es-AR"/>
        </w:rPr>
        <w:t xml:space="preserve"> cla</w:t>
      </w:r>
      <w:r w:rsidR="00881902">
        <w:rPr>
          <w:lang w:val="es-AR"/>
        </w:rPr>
        <w:t>ve</w:t>
      </w:r>
      <w:r w:rsidR="00F908D9">
        <w:rPr>
          <w:lang w:val="es-AR"/>
        </w:rPr>
        <w:t>: convergencia más rápida al equilibrio fiscal</w:t>
      </w:r>
      <w:r w:rsidR="00252FAD">
        <w:rPr>
          <w:lang w:val="es-AR"/>
        </w:rPr>
        <w:t xml:space="preserve"> y</w:t>
      </w:r>
      <w:r w:rsidR="001F2F8B">
        <w:rPr>
          <w:lang w:val="es-AR"/>
        </w:rPr>
        <w:t xml:space="preserve"> </w:t>
      </w:r>
      <w:r w:rsidR="00252FAD">
        <w:rPr>
          <w:lang w:val="es-AR"/>
        </w:rPr>
        <w:t>reducción de la inflación.</w:t>
      </w:r>
    </w:p>
    <w:p w:rsidR="001B70C5" w:rsidRDefault="00252FAD" w:rsidP="00A806BB">
      <w:pPr>
        <w:spacing w:after="120" w:line="300" w:lineRule="auto"/>
        <w:jc w:val="both"/>
      </w:pPr>
      <w:r>
        <w:rPr>
          <w:lang w:val="es-AR"/>
        </w:rPr>
        <w:t>Para asegurar una más rápida convergencia al equilibrio fiscal, las nuevas metas</w:t>
      </w:r>
      <w:r w:rsidR="008E3F19">
        <w:rPr>
          <w:lang w:val="es-AR"/>
        </w:rPr>
        <w:t xml:space="preserve"> de </w:t>
      </w:r>
      <w:r w:rsidR="000F40DC">
        <w:rPr>
          <w:lang w:val="es-AR"/>
        </w:rPr>
        <w:t>resultado fiscal</w:t>
      </w:r>
      <w:r w:rsidR="008E3F19">
        <w:rPr>
          <w:lang w:val="es-AR"/>
        </w:rPr>
        <w:t xml:space="preserve"> primario </w:t>
      </w:r>
      <w:r>
        <w:rPr>
          <w:lang w:val="es-AR"/>
        </w:rPr>
        <w:t>son:</w:t>
      </w:r>
      <w:r w:rsidR="008E3F19">
        <w:rPr>
          <w:lang w:val="es-AR"/>
        </w:rPr>
        <w:t xml:space="preserve"> </w:t>
      </w:r>
      <w:r w:rsidR="000F40DC">
        <w:rPr>
          <w:lang w:val="es-AR"/>
        </w:rPr>
        <w:t>-2,7% del PBI en 2018 (vs. -3,2% con las metas previas), -1,3% en 2019 (vs. -2,2% antes), equilibrio primario en 2020 (vs. -1,2% antes) y superávit de 0,5% en 2021 (vs. 0% antes). En el acumula</w:t>
      </w:r>
      <w:r>
        <w:rPr>
          <w:lang w:val="es-AR"/>
        </w:rPr>
        <w:t>do 2018-2021</w:t>
      </w:r>
      <w:r w:rsidR="000F40DC">
        <w:rPr>
          <w:lang w:val="es-AR"/>
        </w:rPr>
        <w:t xml:space="preserve">, esto significa una reducción </w:t>
      </w:r>
      <w:r>
        <w:rPr>
          <w:lang w:val="es-AR"/>
        </w:rPr>
        <w:t xml:space="preserve">acumulada </w:t>
      </w:r>
      <w:r w:rsidR="000F40DC">
        <w:rPr>
          <w:lang w:val="es-AR"/>
        </w:rPr>
        <w:t xml:space="preserve">del déficit de 3,1% del PBI, alrededor de USD 19.300 millones. </w:t>
      </w:r>
      <w:r w:rsidR="00CE1AE9" w:rsidRPr="00A806BB">
        <w:t>El nuevo sender</w:t>
      </w:r>
      <w:r w:rsidR="00A806BB">
        <w:t xml:space="preserve">o de convergencia fiscal permitirá que el </w:t>
      </w:r>
      <w:r w:rsidR="00CE1AE9" w:rsidRPr="00A806BB">
        <w:t>ratio deuda pública a PBI comie</w:t>
      </w:r>
      <w:r>
        <w:t>nce a reducirse a partir de 2019</w:t>
      </w:r>
      <w:r w:rsidR="00A806BB">
        <w:t>.</w:t>
      </w:r>
    </w:p>
    <w:p w:rsidR="00252FAD" w:rsidRDefault="00252FAD" w:rsidP="00A806BB">
      <w:pPr>
        <w:spacing w:after="120" w:line="300" w:lineRule="auto"/>
        <w:jc w:val="both"/>
      </w:pPr>
      <w:r>
        <w:rPr>
          <w:lang w:val="es-AR"/>
        </w:rPr>
        <w:t xml:space="preserve">Para reducir la inflación el plan refuerza el esquema de metas con tipo de cambio flotante y fortalecimiento de la autonomía del Banco Central. </w:t>
      </w:r>
      <w:r w:rsidR="001F2F8B">
        <w:t>Las metas de inflación</w:t>
      </w:r>
      <w:r w:rsidR="003E43CE">
        <w:t xml:space="preserve"> son</w:t>
      </w:r>
      <w:r>
        <w:t>:</w:t>
      </w:r>
      <w:r w:rsidR="001F2F8B">
        <w:t xml:space="preserve"> 1</w:t>
      </w:r>
      <w:r w:rsidR="007E6847">
        <w:t>7</w:t>
      </w:r>
      <w:r w:rsidR="001F2F8B">
        <w:t xml:space="preserve">% para 2019, 13% para 2020 y </w:t>
      </w:r>
      <w:r w:rsidR="007E6847">
        <w:t>9</w:t>
      </w:r>
      <w:r w:rsidR="001F2F8B">
        <w:t xml:space="preserve">% para 2021. </w:t>
      </w:r>
    </w:p>
    <w:p w:rsidR="00FC62E8" w:rsidRPr="00A806BB" w:rsidRDefault="004463E4" w:rsidP="00A806BB">
      <w:pPr>
        <w:spacing w:after="120" w:line="300" w:lineRule="auto"/>
        <w:jc w:val="both"/>
      </w:pPr>
      <w:r>
        <w:t xml:space="preserve">Con el objetivo de reducir en forma sostenible la inflación es necesario fortalecer la situación patrimonial del Banco Central que fue seriamente debilitada durante las últimas administraciones. A partir de este momento, se </w:t>
      </w:r>
      <w:r w:rsidR="00FC62E8">
        <w:t xml:space="preserve">llevará a cero el financiamiento monetario </w:t>
      </w:r>
      <w:r>
        <w:t xml:space="preserve">del Banco Central </w:t>
      </w:r>
      <w:r w:rsidR="00FC62E8">
        <w:t>al Tesoro</w:t>
      </w:r>
      <w:r>
        <w:t xml:space="preserve">. Asimismo, el Tesoro </w:t>
      </w:r>
      <w:r w:rsidR="007E6847">
        <w:t>se compromete a un programa de cancelación anticipada de Letras Intransferibles para que  e</w:t>
      </w:r>
      <w:r>
        <w:t xml:space="preserve">l Banco Central </w:t>
      </w:r>
      <w:r w:rsidR="007E6847">
        <w:t xml:space="preserve">pueda, con esos recursos, </w:t>
      </w:r>
      <w:r>
        <w:t>reducir el stock de LEBAC</w:t>
      </w:r>
      <w:r w:rsidR="0043125B">
        <w:t>.</w:t>
      </w:r>
      <w:r w:rsidR="001F688B">
        <w:t xml:space="preserve"> </w:t>
      </w:r>
      <w:r>
        <w:t>Finalmente, se enviará al Congreso un proyecto de reforma de la Carta Orgánica del BCRA reforzando su autonomía</w:t>
      </w:r>
      <w:r w:rsidR="00842219">
        <w:t>.</w:t>
      </w:r>
    </w:p>
    <w:p w:rsidR="00A50C79" w:rsidRPr="00A50C79" w:rsidRDefault="00252FAD" w:rsidP="00A50C79">
      <w:pPr>
        <w:spacing w:after="120" w:line="300" w:lineRule="auto"/>
        <w:jc w:val="both"/>
      </w:pPr>
      <w:r w:rsidRPr="00A50C79">
        <w:t>El programa es innovador ya que protege especialmente a los sectores más vulnerables. En efecto, s</w:t>
      </w:r>
      <w:r w:rsidR="00A50C79">
        <w:t>e incluye explícitamente el mon</w:t>
      </w:r>
      <w:r w:rsidRPr="00A50C79">
        <w:t>itoreo de indicadores sociales y</w:t>
      </w:r>
      <w:r w:rsidR="00890FFB">
        <w:t>,</w:t>
      </w:r>
      <w:r w:rsidRPr="00A50C79">
        <w:t xml:space="preserve"> </w:t>
      </w:r>
      <w:r w:rsidR="00890FFB" w:rsidRPr="00A50C79">
        <w:t>por primera</w:t>
      </w:r>
      <w:r w:rsidR="00E45A3D">
        <w:t xml:space="preserve"> vez</w:t>
      </w:r>
      <w:r w:rsidR="00890FFB" w:rsidRPr="00A50C79">
        <w:t xml:space="preserve"> en la historia en un programa con el FMI</w:t>
      </w:r>
      <w:r w:rsidR="00890FFB">
        <w:t>,</w:t>
      </w:r>
      <w:r w:rsidR="00890FFB" w:rsidRPr="00A50C79">
        <w:t xml:space="preserve"> </w:t>
      </w:r>
      <w:r w:rsidRPr="00A50C79">
        <w:t xml:space="preserve">una salvaguarda que permite incrementar el gasto social si el gobierno argentino lo considerara necesario. Esto significa que en caso de que </w:t>
      </w:r>
      <w:r w:rsidR="004463E4" w:rsidRPr="00A50C79">
        <w:t>la economía n</w:t>
      </w:r>
      <w:r w:rsidRPr="00A50C79">
        <w:t>o creciera como esperamos, podrán realizarse ampliaciones de gasto focalizadas especialmente en los programas de asignaciones por hijo y embarazo.</w:t>
      </w:r>
      <w:r w:rsidR="00A50C79" w:rsidRPr="00A50C79">
        <w:t xml:space="preserve"> Nuestro plan también incorpora medidas para promover la equidad de género y estimular la partici</w:t>
      </w:r>
      <w:bookmarkStart w:id="0" w:name="_GoBack"/>
      <w:bookmarkEnd w:id="0"/>
      <w:r w:rsidR="00A50C79" w:rsidRPr="00A50C79">
        <w:t>pación de la mujer en el mercado laboral.</w:t>
      </w:r>
    </w:p>
    <w:p w:rsidR="00252FAD" w:rsidRPr="00A50C79" w:rsidRDefault="00252FAD" w:rsidP="00252FAD">
      <w:pPr>
        <w:spacing w:after="120" w:line="300" w:lineRule="auto"/>
        <w:jc w:val="both"/>
      </w:pPr>
    </w:p>
    <w:p w:rsidR="005D554C" w:rsidRPr="006B27BB" w:rsidRDefault="005D554C" w:rsidP="005D554C">
      <w:pPr>
        <w:spacing w:after="120" w:line="300" w:lineRule="auto"/>
        <w:jc w:val="both"/>
      </w:pPr>
      <w:r w:rsidRPr="006B27BB">
        <w:t>En línea con las condiciones generales de los acuerdos Stand-</w:t>
      </w:r>
      <w:proofErr w:type="spellStart"/>
      <w:r w:rsidRPr="006B27BB">
        <w:t>by</w:t>
      </w:r>
      <w:proofErr w:type="spellEnd"/>
      <w:r w:rsidRPr="006B27BB">
        <w:t>, la devolución de cada desembolso se realiza</w:t>
      </w:r>
      <w:r>
        <w:t>rá</w:t>
      </w:r>
      <w:r w:rsidRPr="006B27BB">
        <w:t xml:space="preserve"> en ocho cuotas trimestrales, con 3 años de gracia. La tasa de interés será variable</w:t>
      </w:r>
      <w:r>
        <w:t xml:space="preserve"> y dependerá de</w:t>
      </w:r>
      <w:r w:rsidRPr="006B27BB">
        <w:t xml:space="preserve"> la evolución de la tasa de interés del derecho especial de giro (DEG). Con los valores actuales de la tasa del DEG</w:t>
      </w:r>
      <w:r>
        <w:t>, se estima que el costo del pré</w:t>
      </w:r>
      <w:r w:rsidRPr="006B27BB">
        <w:t>stamo será de 1,96% mientras los desembolsos acumulados no superen el 187,5% de la cuota argentina en el FMI (monto equivalente a aproximadamente USD 8.480 millones ), de 3,96% si los desembolsos acumulados superan ese monto, y 4,96% si el crédito vigente se mantiene por encima de ese monto por más de tres años.</w:t>
      </w:r>
    </w:p>
    <w:p w:rsidR="00F908D9" w:rsidRPr="00A50C79" w:rsidRDefault="00F908D9" w:rsidP="00A50C79">
      <w:pPr>
        <w:spacing w:after="120" w:line="300" w:lineRule="auto"/>
        <w:jc w:val="both"/>
      </w:pPr>
    </w:p>
    <w:sectPr w:rsidR="00F908D9" w:rsidRPr="00A50C79" w:rsidSect="00F43A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96A"/>
    <w:multiLevelType w:val="hybridMultilevel"/>
    <w:tmpl w:val="649E7784"/>
    <w:lvl w:ilvl="0" w:tplc="977C1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8A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6C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B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8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C2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6F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07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EC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6363C7"/>
    <w:multiLevelType w:val="hybridMultilevel"/>
    <w:tmpl w:val="299A4CE0"/>
    <w:lvl w:ilvl="0" w:tplc="7DF0C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63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4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06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49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4D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67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22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844B9D"/>
    <w:multiLevelType w:val="hybridMultilevel"/>
    <w:tmpl w:val="0A2EFB64"/>
    <w:lvl w:ilvl="0" w:tplc="F77E6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6E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20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06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48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4B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46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CC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835A5F"/>
    <w:multiLevelType w:val="hybridMultilevel"/>
    <w:tmpl w:val="88EE9EF8"/>
    <w:lvl w:ilvl="0" w:tplc="1D52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CD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B4EA">
      <w:start w:val="259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2C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8F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E5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C8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6E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C1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615239"/>
    <w:multiLevelType w:val="hybridMultilevel"/>
    <w:tmpl w:val="470E790C"/>
    <w:lvl w:ilvl="0" w:tplc="267CD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A20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5EE9C2">
      <w:start w:val="738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01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88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C7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65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83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6F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urzenegger, Federico">
    <w15:presenceInfo w15:providerId="AD" w15:userId="S-1-5-21-4198562046-2144555306-145760163-240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6E75"/>
    <w:rsid w:val="000611DA"/>
    <w:rsid w:val="0008728C"/>
    <w:rsid w:val="000A46AA"/>
    <w:rsid w:val="000F40DC"/>
    <w:rsid w:val="0011334B"/>
    <w:rsid w:val="001B70C5"/>
    <w:rsid w:val="001E13A5"/>
    <w:rsid w:val="001F2F8B"/>
    <w:rsid w:val="001F688B"/>
    <w:rsid w:val="00252FAD"/>
    <w:rsid w:val="00257EF5"/>
    <w:rsid w:val="00347425"/>
    <w:rsid w:val="003B2FC0"/>
    <w:rsid w:val="003E43CE"/>
    <w:rsid w:val="004165ED"/>
    <w:rsid w:val="0043125B"/>
    <w:rsid w:val="00432F5B"/>
    <w:rsid w:val="004463E4"/>
    <w:rsid w:val="004C19DF"/>
    <w:rsid w:val="00534B94"/>
    <w:rsid w:val="0055751E"/>
    <w:rsid w:val="005628D2"/>
    <w:rsid w:val="00576E75"/>
    <w:rsid w:val="005D554C"/>
    <w:rsid w:val="00687CBB"/>
    <w:rsid w:val="006B27BB"/>
    <w:rsid w:val="00710638"/>
    <w:rsid w:val="00744874"/>
    <w:rsid w:val="007E6847"/>
    <w:rsid w:val="008356ED"/>
    <w:rsid w:val="00842219"/>
    <w:rsid w:val="008512FF"/>
    <w:rsid w:val="00875AE2"/>
    <w:rsid w:val="00881902"/>
    <w:rsid w:val="00887EFD"/>
    <w:rsid w:val="00890FFB"/>
    <w:rsid w:val="008A12CE"/>
    <w:rsid w:val="008E3F19"/>
    <w:rsid w:val="00961126"/>
    <w:rsid w:val="00A23A09"/>
    <w:rsid w:val="00A34F6C"/>
    <w:rsid w:val="00A50C79"/>
    <w:rsid w:val="00A64900"/>
    <w:rsid w:val="00A806BB"/>
    <w:rsid w:val="00AA248E"/>
    <w:rsid w:val="00AB0909"/>
    <w:rsid w:val="00AB13B6"/>
    <w:rsid w:val="00C04FAC"/>
    <w:rsid w:val="00C33166"/>
    <w:rsid w:val="00CA0C31"/>
    <w:rsid w:val="00CE1AE9"/>
    <w:rsid w:val="00E125F3"/>
    <w:rsid w:val="00E45A3D"/>
    <w:rsid w:val="00EA4CBE"/>
    <w:rsid w:val="00EC0421"/>
    <w:rsid w:val="00F43AE0"/>
    <w:rsid w:val="00F908D9"/>
    <w:rsid w:val="00FC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6BB"/>
    <w:pPr>
      <w:ind w:left="720"/>
      <w:contextualSpacing/>
    </w:pPr>
    <w:rPr>
      <w:rFonts w:ascii="Times New Roman" w:eastAsia="Times New Roman" w:hAnsi="Times New Roman" w:cs="Times New Roman"/>
      <w:lang w:val="es-AR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F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F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6BB"/>
    <w:pPr>
      <w:ind w:left="720"/>
      <w:contextualSpacing/>
    </w:pPr>
    <w:rPr>
      <w:rFonts w:ascii="Times New Roman" w:eastAsia="Times New Roman" w:hAnsi="Times New Roman" w:cs="Times New Roman"/>
      <w:lang w:val="es-AR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F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F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42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20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2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1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7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70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9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31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77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0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6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0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96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7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81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53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59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31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19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8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BALLESTER FRANCISCO</dc:creator>
  <cp:lastModifiedBy>scatalano</cp:lastModifiedBy>
  <cp:revision>2</cp:revision>
  <dcterms:created xsi:type="dcterms:W3CDTF">2018-06-07T22:47:00Z</dcterms:created>
  <dcterms:modified xsi:type="dcterms:W3CDTF">2018-06-07T22:47:00Z</dcterms:modified>
</cp:coreProperties>
</file>